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741"/>
        <w:tblW w:w="9634" w:type="dxa"/>
        <w:tblLook w:val="04A0" w:firstRow="1" w:lastRow="0" w:firstColumn="1" w:lastColumn="0" w:noHBand="0" w:noVBand="1"/>
      </w:tblPr>
      <w:tblGrid>
        <w:gridCol w:w="9634"/>
      </w:tblGrid>
      <w:tr w:rsidR="008352C2" w:rsidRPr="008352C2" w14:paraId="757E8E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B7FF" w:themeFill="accent1" w:themeFillTint="33"/>
          </w:tcPr>
          <w:p w14:paraId="0347D337" w14:textId="7FC22096" w:rsidR="008352C2" w:rsidRPr="008352C2" w:rsidRDefault="008352C2" w:rsidP="008352C2">
            <w:pPr>
              <w:pStyle w:val="Heading1"/>
              <w:jc w:val="left"/>
            </w:pPr>
            <w:r w:rsidRPr="008352C2">
              <w:t>SEMH Guid</w:t>
            </w:r>
            <w:r>
              <w:t xml:space="preserve">e </w:t>
            </w:r>
            <w:r w:rsidRPr="008352C2">
              <w:t>‘Movement breaks’</w:t>
            </w:r>
          </w:p>
        </w:tc>
      </w:tr>
      <w:tr w:rsidR="008352C2" w:rsidRPr="008352C2" w14:paraId="602530A0"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33E829B" w14:textId="556909FC" w:rsidR="008352C2" w:rsidRPr="008352C2" w:rsidRDefault="008352C2" w:rsidP="008352C2">
            <w:pPr>
              <w:pStyle w:val="Heading2"/>
              <w:jc w:val="left"/>
            </w:pPr>
            <w:r w:rsidRPr="008352C2">
              <w:t>Introduction</w:t>
            </w:r>
          </w:p>
        </w:tc>
      </w:tr>
      <w:tr w:rsidR="008352C2" w:rsidRPr="008352C2" w14:paraId="28F99E2F"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tcPr>
          <w:p w14:paraId="0DC74C6F" w14:textId="77777777" w:rsidR="008352C2" w:rsidRPr="008352C2" w:rsidRDefault="008352C2" w:rsidP="008352C2">
            <w:pPr>
              <w:spacing w:line="278" w:lineRule="auto"/>
              <w:jc w:val="left"/>
            </w:pPr>
            <w:r w:rsidRPr="008352C2">
              <w:t>Movement breaks are a powerful and effective way to support </w:t>
            </w:r>
            <w:hyperlink r:id="rId11" w:history="1">
              <w:r w:rsidRPr="008352C2">
                <w:rPr>
                  <w:rStyle w:val="Hyperlink"/>
                </w:rPr>
                <w:t>self-regulation</w:t>
              </w:r>
            </w:hyperlink>
            <w:r w:rsidRPr="008352C2">
              <w:t xml:space="preserve"> skills, refocus </w:t>
            </w:r>
            <w:hyperlink r:id="rId12" w:history="1">
              <w:r w:rsidRPr="008352C2">
                <w:rPr>
                  <w:rStyle w:val="Hyperlink"/>
                </w:rPr>
                <w:t>attention</w:t>
              </w:r>
            </w:hyperlink>
            <w:r w:rsidRPr="008352C2">
              <w:t xml:space="preserve">, strengthen peer relationships and support learning within the classroom. They are movement opportunities that enable pupils to release stored up energy from within the body in a controlled manor which enables them to re-group, re-focus and reengage again with formal learning. For many young people learning can be an exhausting process which requires long periods of desk bound restriction that </w:t>
            </w:r>
            <w:proofErr w:type="spellStart"/>
            <w:r w:rsidRPr="008352C2">
              <w:t>inhibts</w:t>
            </w:r>
            <w:proofErr w:type="spellEnd"/>
            <w:r w:rsidRPr="008352C2">
              <w:t xml:space="preserve"> our natural need for movement / energy release which often makes people feel sluggish and sleepy. Often children struggle with learning activities during the school day and try to pay attention to learning activities while trying to cope with sensory processing issues or challenges with executive functioning needs.</w:t>
            </w:r>
          </w:p>
          <w:p w14:paraId="31CBFDCA" w14:textId="77777777" w:rsidR="008352C2" w:rsidRPr="008352C2" w:rsidRDefault="008352C2" w:rsidP="008352C2">
            <w:pPr>
              <w:spacing w:line="278" w:lineRule="auto"/>
              <w:jc w:val="left"/>
            </w:pPr>
            <w:r w:rsidRPr="008352C2">
              <w:t xml:space="preserve">Movement breaks, or ‘brain breaks’ as they are sometimes called, can be used as part of a sensory diet within a classroom to supports all pupils and involves the use of short periods of controlled physical activity to releases stored energy from within the body. These short movement breaks can be neatly fitted in between scheduled lessons and require few, if any, physical resources. In fact, there are even online resources that are freely available that do all the preparation and delivery for staff, so it doesn’t have to add to the teacher’s workload. </w:t>
            </w:r>
          </w:p>
          <w:p w14:paraId="79D40273" w14:textId="77777777" w:rsidR="008352C2" w:rsidRPr="008352C2" w:rsidRDefault="008352C2" w:rsidP="008352C2">
            <w:pPr>
              <w:spacing w:line="278" w:lineRule="auto"/>
              <w:jc w:val="left"/>
            </w:pPr>
            <w:r w:rsidRPr="008352C2">
              <w:t>This resource outlines short movement break information and activities that you can use during the school day. Key factors to consider when using movement breaks are:</w:t>
            </w:r>
          </w:p>
          <w:p w14:paraId="556EEE56" w14:textId="77777777" w:rsidR="008352C2" w:rsidRPr="008352C2" w:rsidRDefault="008352C2" w:rsidP="008352C2">
            <w:pPr>
              <w:spacing w:line="278" w:lineRule="auto"/>
              <w:jc w:val="left"/>
            </w:pPr>
            <w:r w:rsidRPr="008352C2">
              <w:t xml:space="preserve">1) </w:t>
            </w:r>
            <w:r w:rsidRPr="008352C2">
              <w:rPr>
                <w:b/>
                <w:bCs/>
              </w:rPr>
              <w:t>Inclusivity</w:t>
            </w:r>
            <w:r w:rsidRPr="008352C2">
              <w:t xml:space="preserve"> – consider the physical abilities of all the pupils in the room</w:t>
            </w:r>
          </w:p>
          <w:p w14:paraId="1BBA3D20" w14:textId="77777777" w:rsidR="008352C2" w:rsidRPr="008352C2" w:rsidRDefault="008352C2" w:rsidP="008352C2">
            <w:pPr>
              <w:spacing w:line="278" w:lineRule="auto"/>
              <w:jc w:val="left"/>
            </w:pPr>
            <w:r w:rsidRPr="008352C2">
              <w:t xml:space="preserve">2) </w:t>
            </w:r>
            <w:r w:rsidRPr="008352C2">
              <w:rPr>
                <w:b/>
                <w:bCs/>
              </w:rPr>
              <w:t>Space</w:t>
            </w:r>
            <w:r w:rsidRPr="008352C2">
              <w:t xml:space="preserve"> – consider the health and safety implications of all the activities in your classroom environment</w:t>
            </w:r>
          </w:p>
          <w:p w14:paraId="52C7ACF8" w14:textId="77777777" w:rsidR="008352C2" w:rsidRPr="008352C2" w:rsidRDefault="008352C2" w:rsidP="008352C2">
            <w:pPr>
              <w:spacing w:line="278" w:lineRule="auto"/>
              <w:jc w:val="left"/>
            </w:pPr>
            <w:r w:rsidRPr="008352C2">
              <w:t xml:space="preserve">3) </w:t>
            </w:r>
            <w:r w:rsidRPr="008352C2">
              <w:rPr>
                <w:b/>
                <w:bCs/>
              </w:rPr>
              <w:t>Timing</w:t>
            </w:r>
            <w:r w:rsidRPr="008352C2">
              <w:t xml:space="preserve"> – use the activities at select intervals during the day; avoid overload and always select the appropriate activities that suit the needs of the class</w:t>
            </w:r>
          </w:p>
          <w:p w14:paraId="514396B6" w14:textId="7EC096F7" w:rsidR="008352C2" w:rsidRPr="008352C2" w:rsidRDefault="008352C2" w:rsidP="008352C2">
            <w:pPr>
              <w:spacing w:line="278" w:lineRule="auto"/>
              <w:jc w:val="left"/>
            </w:pPr>
            <w:r>
              <w:br/>
            </w:r>
          </w:p>
        </w:tc>
      </w:tr>
      <w:tr w:rsidR="008352C2" w:rsidRPr="008352C2" w14:paraId="390DB0E9"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0B36314B" w14:textId="77777777" w:rsidR="008352C2" w:rsidRPr="008352C2" w:rsidRDefault="008352C2" w:rsidP="008352C2">
            <w:pPr>
              <w:pStyle w:val="Heading2"/>
              <w:jc w:val="left"/>
            </w:pPr>
            <w:r w:rsidRPr="008352C2">
              <w:lastRenderedPageBreak/>
              <w:t>How often should movement / brain breaks be used?</w:t>
            </w:r>
          </w:p>
        </w:tc>
      </w:tr>
      <w:tr w:rsidR="008352C2" w:rsidRPr="008352C2" w14:paraId="072BE58B"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7AE5CD3" w14:textId="3FF03F7E" w:rsidR="008352C2" w:rsidRPr="008352C2" w:rsidRDefault="008352C2" w:rsidP="008352C2">
            <w:pPr>
              <w:spacing w:line="278" w:lineRule="auto"/>
              <w:jc w:val="left"/>
            </w:pPr>
            <w:r w:rsidRPr="008352C2">
              <w:t>Movement breaks provide time for students to process and retain the information that they are being taught. Younger children have a far shorter attention span than older children, therefore researchers recommend that regular movement / brain breaks should be built into children’s timetable every 15 minutes for younger children, and approximately every 30 - 40 minutes for older learners.</w:t>
            </w:r>
          </w:p>
        </w:tc>
      </w:tr>
      <w:tr w:rsidR="008352C2" w:rsidRPr="008352C2" w14:paraId="56D7C446"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3A11C5A3" w14:textId="77777777" w:rsidR="008352C2" w:rsidRPr="008352C2" w:rsidRDefault="008352C2" w:rsidP="008352C2">
            <w:pPr>
              <w:pStyle w:val="Heading2"/>
              <w:jc w:val="left"/>
            </w:pPr>
            <w:r w:rsidRPr="008352C2">
              <w:t>Always consider pupils’ abilities and strengths</w:t>
            </w:r>
          </w:p>
        </w:tc>
      </w:tr>
      <w:tr w:rsidR="008352C2" w:rsidRPr="008352C2" w14:paraId="4741565B"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E9184E7" w14:textId="77777777" w:rsidR="008352C2" w:rsidRPr="008352C2" w:rsidRDefault="008352C2" w:rsidP="008352C2">
            <w:pPr>
              <w:autoSpaceDE/>
              <w:autoSpaceDN/>
              <w:spacing w:line="278" w:lineRule="auto"/>
              <w:jc w:val="left"/>
            </w:pPr>
            <w:r w:rsidRPr="008352C2">
              <w:rPr>
                <w:b/>
                <w:bCs/>
              </w:rPr>
              <w:t xml:space="preserve"> </w:t>
            </w:r>
            <w:r w:rsidRPr="008352C2">
              <w:t>Some pupils may need additional supports or adaptations to engage in movement breaks therefore it is important to consider the following aspects:</w:t>
            </w:r>
          </w:p>
          <w:p w14:paraId="1FA452BC" w14:textId="77777777" w:rsidR="008352C2" w:rsidRPr="008352C2" w:rsidRDefault="008352C2" w:rsidP="008352C2">
            <w:pPr>
              <w:numPr>
                <w:ilvl w:val="0"/>
                <w:numId w:val="32"/>
              </w:numPr>
              <w:autoSpaceDE/>
              <w:autoSpaceDN/>
              <w:spacing w:line="278" w:lineRule="auto"/>
              <w:jc w:val="left"/>
            </w:pPr>
            <w:r w:rsidRPr="008352C2">
              <w:rPr>
                <w:b/>
                <w:bCs/>
              </w:rPr>
              <w:t xml:space="preserve">Pupils’ physical abilities </w:t>
            </w:r>
            <w:r w:rsidRPr="008352C2">
              <w:t xml:space="preserve">(where relevant, it is advisable to consult with pupils’ medical and/or therapy teams prior to engaging them in any movement activities). </w:t>
            </w:r>
          </w:p>
          <w:p w14:paraId="615B3AB6" w14:textId="6C24196C" w:rsidR="008352C2" w:rsidRPr="008352C2" w:rsidRDefault="008352C2" w:rsidP="008352C2">
            <w:pPr>
              <w:numPr>
                <w:ilvl w:val="0"/>
                <w:numId w:val="32"/>
              </w:numPr>
              <w:autoSpaceDE/>
              <w:autoSpaceDN/>
              <w:spacing w:line="278" w:lineRule="auto"/>
              <w:jc w:val="left"/>
            </w:pPr>
            <w:r w:rsidRPr="008352C2">
              <w:rPr>
                <w:b/>
                <w:bCs/>
              </w:rPr>
              <w:t>Pupils’ communication and learning needs</w:t>
            </w:r>
            <w:r w:rsidRPr="008352C2">
              <w:t xml:space="preserve">. Clear instructions (verbal and/or written) on how to complete movements safely help all pupils understand what they need to do. Some pupils may need additional supports. We need to consider the language load of these tasks and tailor our instructions to ensure all pupils understand and can follow them (for example the demands of listening to a set of instructions, processing them, and following/responding can be challenging for some pupils with Speech Language and Communication Needs. Consider how verbal prompting, physical demonstrations, and visual supports (images/words/ symbols) can support and reinforce the pupils understanding. Some pupils may benefit from a visual outline of the steps involved in the movements to be done; others may benefit from the support of a Teaching Assistant (TA) to complete the movement routines. </w:t>
            </w:r>
          </w:p>
          <w:p w14:paraId="03E842BE" w14:textId="77777777" w:rsidR="008352C2" w:rsidRPr="008352C2" w:rsidRDefault="008352C2" w:rsidP="008352C2">
            <w:pPr>
              <w:autoSpaceDE/>
              <w:autoSpaceDN/>
              <w:spacing w:line="278" w:lineRule="auto"/>
              <w:jc w:val="left"/>
            </w:pPr>
            <w:r w:rsidRPr="008352C2">
              <w:rPr>
                <w:b/>
                <w:bCs/>
              </w:rPr>
              <w:t xml:space="preserve">Pupils’ Sensory Needs: </w:t>
            </w:r>
            <w:r w:rsidRPr="008352C2">
              <w:t xml:space="preserve">Some pupils experience difference in how they respond to sensory information, therefore some pupils may be over responsive and/or under responsive to certain elements. When choosing movements, be mindful of pupil’s sensory needs. It is important that the pupil feels safe and comfortable to participate in the movements that are selected. If a pupil has an assessment report detailing their sensory profile, please refer to that report for detailed information and/ or recommendations before creating your movement break routines. </w:t>
            </w:r>
          </w:p>
          <w:p w14:paraId="606D4EBE" w14:textId="482AE7D4" w:rsidR="008352C2" w:rsidRPr="008352C2" w:rsidRDefault="008352C2" w:rsidP="008352C2">
            <w:pPr>
              <w:autoSpaceDE/>
              <w:autoSpaceDN/>
              <w:spacing w:line="278" w:lineRule="auto"/>
              <w:jc w:val="left"/>
            </w:pPr>
            <w:r w:rsidRPr="008352C2">
              <w:rPr>
                <w:b/>
                <w:bCs/>
              </w:rPr>
              <w:lastRenderedPageBreak/>
              <w:t xml:space="preserve">Pupils’ confidence levels: </w:t>
            </w:r>
            <w:r w:rsidRPr="008352C2">
              <w:t>Some pupils may be less comfortable or have less confidence, when engaging in physical movement and dance routines. Therefore, it is very important to create a safe environment where the focus of the movement break is on the act of moving our bodies to stay alert and not about ‘moving perfectly’ or being the ‘best dancer’ in the class. Stress to the participants of the movement break that everybody is unique and has individual skills and talents which make us who we are, then encourage pupils to do what they can comfortably do during the movement break.</w:t>
            </w:r>
          </w:p>
          <w:p w14:paraId="5C72CACE" w14:textId="77777777" w:rsidR="008352C2" w:rsidRPr="008352C2" w:rsidRDefault="008352C2" w:rsidP="008352C2">
            <w:pPr>
              <w:pStyle w:val="Heading2"/>
              <w:jc w:val="left"/>
            </w:pPr>
            <w:r w:rsidRPr="008352C2">
              <w:t xml:space="preserve">Pupil interests </w:t>
            </w:r>
          </w:p>
          <w:p w14:paraId="3ADB2BC2" w14:textId="77777777" w:rsidR="008352C2" w:rsidRPr="008352C2" w:rsidRDefault="008352C2" w:rsidP="008352C2">
            <w:pPr>
              <w:autoSpaceDE/>
              <w:autoSpaceDN/>
              <w:spacing w:line="278" w:lineRule="auto"/>
              <w:jc w:val="left"/>
            </w:pPr>
            <w:r w:rsidRPr="008352C2">
              <w:t xml:space="preserve">Incorporating pupil interests into movement breaks can help motivate pupils and maximise participation. Consider the following: </w:t>
            </w:r>
          </w:p>
          <w:p w14:paraId="052A930A" w14:textId="77777777" w:rsidR="008352C2" w:rsidRPr="008352C2" w:rsidRDefault="008352C2" w:rsidP="008352C2">
            <w:pPr>
              <w:numPr>
                <w:ilvl w:val="0"/>
                <w:numId w:val="33"/>
              </w:numPr>
              <w:autoSpaceDE/>
              <w:autoSpaceDN/>
              <w:spacing w:line="278" w:lineRule="auto"/>
              <w:jc w:val="left"/>
            </w:pPr>
            <w:r w:rsidRPr="008352C2">
              <w:t xml:space="preserve">Using language relevant to pupils’ hobbies and interests to describe movement breaks. You can even include an element </w:t>
            </w:r>
            <w:proofErr w:type="gramStart"/>
            <w:r w:rsidRPr="008352C2">
              <w:t>of  ‘</w:t>
            </w:r>
            <w:proofErr w:type="gramEnd"/>
            <w:r w:rsidRPr="008352C2">
              <w:t xml:space="preserve">challenge’ or ‘game’ within the session. </w:t>
            </w:r>
          </w:p>
          <w:p w14:paraId="4D5786C7" w14:textId="77777777" w:rsidR="008352C2" w:rsidRPr="008352C2" w:rsidRDefault="008352C2" w:rsidP="008352C2">
            <w:pPr>
              <w:numPr>
                <w:ilvl w:val="0"/>
                <w:numId w:val="33"/>
              </w:numPr>
              <w:autoSpaceDE/>
              <w:autoSpaceDN/>
              <w:spacing w:line="278" w:lineRule="auto"/>
              <w:jc w:val="left"/>
            </w:pPr>
            <w:r w:rsidRPr="008352C2">
              <w:t xml:space="preserve">Involving pupils in the design and selection of movement break ideas can also strengthen engagement. </w:t>
            </w:r>
          </w:p>
          <w:p w14:paraId="31DA5736" w14:textId="77777777" w:rsidR="008352C2" w:rsidRPr="008352C2" w:rsidRDefault="008352C2" w:rsidP="008352C2">
            <w:pPr>
              <w:numPr>
                <w:ilvl w:val="0"/>
                <w:numId w:val="33"/>
              </w:numPr>
              <w:autoSpaceDE/>
              <w:autoSpaceDN/>
              <w:spacing w:line="278" w:lineRule="auto"/>
              <w:jc w:val="left"/>
            </w:pPr>
            <w:r w:rsidRPr="008352C2">
              <w:t xml:space="preserve">Providing pupils with specific roles during your movement breaks can also foster a sense of responsibility and build self-esteem e.g., timekeeper, rep counter, demonstrator, etc. </w:t>
            </w:r>
          </w:p>
          <w:p w14:paraId="20508112" w14:textId="77777777" w:rsidR="008352C2" w:rsidRPr="008352C2" w:rsidRDefault="008352C2" w:rsidP="008352C2">
            <w:pPr>
              <w:numPr>
                <w:ilvl w:val="0"/>
                <w:numId w:val="33"/>
              </w:numPr>
              <w:autoSpaceDE/>
              <w:autoSpaceDN/>
              <w:spacing w:line="278" w:lineRule="auto"/>
              <w:jc w:val="left"/>
            </w:pPr>
            <w:r w:rsidRPr="008352C2">
              <w:t xml:space="preserve">Provide pupils with a choice e.g., would X or Y be more helpful for you to do? </w:t>
            </w:r>
          </w:p>
          <w:p w14:paraId="4B7449D5" w14:textId="77777777" w:rsidR="008352C2" w:rsidRPr="008352C2" w:rsidRDefault="008352C2" w:rsidP="008352C2">
            <w:pPr>
              <w:spacing w:line="278" w:lineRule="auto"/>
              <w:jc w:val="left"/>
            </w:pPr>
          </w:p>
        </w:tc>
      </w:tr>
      <w:tr w:rsidR="008352C2" w:rsidRPr="008352C2" w14:paraId="0A94562D"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9AC311" w14:textId="77777777" w:rsidR="008352C2" w:rsidRPr="008352C2" w:rsidRDefault="008352C2" w:rsidP="008352C2">
            <w:pPr>
              <w:pStyle w:val="Heading2"/>
              <w:jc w:val="left"/>
            </w:pPr>
            <w:r w:rsidRPr="008352C2">
              <w:lastRenderedPageBreak/>
              <w:t xml:space="preserve">What should the structure of movement breaks </w:t>
            </w:r>
            <w:proofErr w:type="gramStart"/>
            <w:r w:rsidRPr="008352C2">
              <w:t>be ?</w:t>
            </w:r>
            <w:proofErr w:type="gramEnd"/>
          </w:p>
          <w:p w14:paraId="3C3A2D21" w14:textId="77777777" w:rsidR="008352C2" w:rsidRPr="008352C2" w:rsidRDefault="008352C2" w:rsidP="008352C2">
            <w:pPr>
              <w:autoSpaceDE/>
              <w:autoSpaceDN/>
              <w:spacing w:line="278" w:lineRule="auto"/>
              <w:jc w:val="left"/>
            </w:pPr>
            <w:r w:rsidRPr="008352C2">
              <w:t>For movement breaks to be effective in the classroom they should be delivered in the set format below.</w:t>
            </w:r>
          </w:p>
          <w:p w14:paraId="1EE22F8B" w14:textId="50B8A230" w:rsidR="008352C2" w:rsidRPr="008352C2" w:rsidRDefault="008352C2" w:rsidP="008352C2">
            <w:pPr>
              <w:autoSpaceDE/>
              <w:autoSpaceDN/>
              <w:spacing w:line="278" w:lineRule="auto"/>
              <w:jc w:val="left"/>
            </w:pPr>
          </w:p>
          <w:p w14:paraId="6646B831" w14:textId="0B2EE624" w:rsidR="008352C2" w:rsidRPr="008352C2" w:rsidRDefault="008352C2" w:rsidP="008352C2">
            <w:pPr>
              <w:autoSpaceDE/>
              <w:autoSpaceDN/>
              <w:spacing w:line="278" w:lineRule="auto"/>
              <w:jc w:val="left"/>
            </w:pPr>
            <w:r>
              <w:rPr>
                <w:noProof/>
                <w14:ligatures w14:val="standardContextual"/>
              </w:rPr>
              <w:drawing>
                <wp:inline distT="0" distB="0" distL="0" distR="0" wp14:anchorId="213FB7F0" wp14:editId="7295D761">
                  <wp:extent cx="5486400" cy="1447800"/>
                  <wp:effectExtent l="209550" t="0" r="171450" b="0"/>
                  <wp:docPr id="64996979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21521B1" w14:textId="77777777" w:rsidR="008352C2" w:rsidRPr="008352C2" w:rsidRDefault="008352C2" w:rsidP="008352C2">
            <w:pPr>
              <w:pStyle w:val="Heading2"/>
              <w:jc w:val="left"/>
            </w:pPr>
            <w:r w:rsidRPr="008352C2">
              <w:lastRenderedPageBreak/>
              <w:t xml:space="preserve">Alerting Activities </w:t>
            </w:r>
          </w:p>
          <w:p w14:paraId="6C1DF98A" w14:textId="79749214" w:rsidR="008352C2" w:rsidRPr="008352C2" w:rsidRDefault="008352C2" w:rsidP="008352C2">
            <w:pPr>
              <w:autoSpaceDE/>
              <w:autoSpaceDN/>
              <w:spacing w:line="278" w:lineRule="auto"/>
              <w:jc w:val="left"/>
            </w:pPr>
            <w:r w:rsidRPr="008352C2">
              <w:t>Energy release activities to provide vestibular and proprioceptive stimulation. This prepares the brain for learning through energy release and increases awareness.</w:t>
            </w:r>
          </w:p>
          <w:p w14:paraId="54FB1CE4" w14:textId="77777777" w:rsidR="008352C2" w:rsidRPr="008352C2" w:rsidRDefault="008352C2" w:rsidP="008352C2">
            <w:pPr>
              <w:pStyle w:val="Heading2"/>
              <w:jc w:val="left"/>
            </w:pPr>
            <w:r w:rsidRPr="008352C2">
              <w:t>Organising section</w:t>
            </w:r>
          </w:p>
          <w:p w14:paraId="4090371C" w14:textId="77777777" w:rsidR="008352C2" w:rsidRPr="008352C2" w:rsidRDefault="008352C2" w:rsidP="008352C2">
            <w:pPr>
              <w:autoSpaceDE/>
              <w:autoSpaceDN/>
              <w:spacing w:line="278" w:lineRule="auto"/>
              <w:jc w:val="left"/>
            </w:pPr>
            <w:r w:rsidRPr="008352C2">
              <w:t>This section includes organisational activities that require motor sensory processing, balance and</w:t>
            </w:r>
          </w:p>
          <w:p w14:paraId="2D3594BC" w14:textId="08151490" w:rsidR="008352C2" w:rsidRPr="008352C2" w:rsidRDefault="008352C2" w:rsidP="008352C2">
            <w:pPr>
              <w:autoSpaceDE/>
              <w:autoSpaceDN/>
              <w:spacing w:line="278" w:lineRule="auto"/>
              <w:jc w:val="left"/>
            </w:pPr>
            <w:r w:rsidRPr="008352C2">
              <w:t>timing. The pupil needs to organise their body, plan their approach, and do more than one thing at a time.</w:t>
            </w:r>
          </w:p>
          <w:p w14:paraId="7B97B873" w14:textId="77777777" w:rsidR="008352C2" w:rsidRPr="008352C2" w:rsidRDefault="008352C2" w:rsidP="008352C2">
            <w:pPr>
              <w:pStyle w:val="Heading2"/>
              <w:jc w:val="left"/>
            </w:pPr>
            <w:r w:rsidRPr="008352C2">
              <w:t>Transitioning back to learning activities</w:t>
            </w:r>
          </w:p>
          <w:p w14:paraId="46717B4F" w14:textId="2BC27F34" w:rsidR="008352C2" w:rsidRPr="008352C2" w:rsidRDefault="008352C2" w:rsidP="008352C2">
            <w:pPr>
              <w:autoSpaceDE/>
              <w:autoSpaceDN/>
              <w:spacing w:line="278" w:lineRule="auto"/>
              <w:jc w:val="left"/>
            </w:pPr>
            <w:r w:rsidRPr="008352C2">
              <w:t xml:space="preserve">Finishing the movement break with calming activities to ensures that pupils end the routine feeling calm, centred, and ready </w:t>
            </w:r>
            <w:proofErr w:type="spellStart"/>
            <w:r w:rsidRPr="008352C2">
              <w:t>ti</w:t>
            </w:r>
            <w:proofErr w:type="spellEnd"/>
            <w:r w:rsidRPr="008352C2">
              <w:t xml:space="preserve"> reengage with learning.</w:t>
            </w:r>
          </w:p>
        </w:tc>
      </w:tr>
      <w:tr w:rsidR="008352C2" w:rsidRPr="008352C2" w14:paraId="5070BDE4" w14:textId="77777777" w:rsidTr="008352C2">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77BAB2F8" w14:textId="77777777" w:rsidR="008352C2" w:rsidRPr="008352C2" w:rsidRDefault="008352C2" w:rsidP="008352C2">
            <w:pPr>
              <w:pStyle w:val="Heading2"/>
              <w:jc w:val="left"/>
            </w:pPr>
            <w:r w:rsidRPr="008352C2">
              <w:lastRenderedPageBreak/>
              <w:t>Movement breaks online resources and programme support links</w:t>
            </w:r>
          </w:p>
        </w:tc>
      </w:tr>
      <w:tr w:rsidR="008352C2" w:rsidRPr="008352C2" w14:paraId="1DC64E2F" w14:textId="77777777">
        <w:trPr>
          <w:trHeight w:val="2117"/>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8980"/>
            </w:tblGrid>
            <w:tr w:rsidR="008352C2" w:rsidRPr="008352C2" w14:paraId="4380A96A" w14:textId="77777777">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8980" w:type="dxa"/>
                  <w:hideMark/>
                </w:tcPr>
                <w:p w14:paraId="1031BFF4" w14:textId="77777777" w:rsidR="008352C2" w:rsidRPr="008352C2" w:rsidRDefault="008352C2" w:rsidP="008352C2">
                  <w:pPr>
                    <w:framePr w:hSpace="180" w:wrap="around" w:vAnchor="page" w:hAnchor="margin" w:xAlign="center" w:y="1741"/>
                    <w:spacing w:line="278" w:lineRule="auto"/>
                    <w:jc w:val="left"/>
                    <w:rPr>
                      <w:b/>
                      <w:bCs/>
                    </w:rPr>
                  </w:pPr>
                  <w:r w:rsidRPr="008352C2">
                    <w:rPr>
                      <w:b/>
                      <w:bCs/>
                    </w:rPr>
                    <w:t xml:space="preserve">Movement breaks in the classroom </w:t>
                  </w:r>
                </w:p>
                <w:p w14:paraId="5F9DAB3C" w14:textId="77777777" w:rsidR="008352C2" w:rsidRPr="008352C2" w:rsidRDefault="008352C2" w:rsidP="008352C2">
                  <w:pPr>
                    <w:framePr w:hSpace="180" w:wrap="around" w:vAnchor="page" w:hAnchor="margin" w:xAlign="center" w:y="1741"/>
                    <w:spacing w:line="278" w:lineRule="auto"/>
                    <w:jc w:val="left"/>
                    <w:rPr>
                      <w:b/>
                      <w:bCs/>
                    </w:rPr>
                  </w:pPr>
                  <w:r w:rsidRPr="008352C2">
                    <w:rPr>
                      <w:b/>
                      <w:bCs/>
                    </w:rPr>
                    <w:t xml:space="preserve">A resource for schools (NCSE) </w:t>
                  </w:r>
                </w:p>
                <w:p w14:paraId="3EBF1475" w14:textId="77777777" w:rsidR="008352C2" w:rsidRPr="008352C2" w:rsidRDefault="008352C2" w:rsidP="008352C2">
                  <w:pPr>
                    <w:framePr w:hSpace="180" w:wrap="around" w:vAnchor="page" w:hAnchor="margin" w:xAlign="center" w:y="1741"/>
                    <w:spacing w:line="278" w:lineRule="auto"/>
                    <w:jc w:val="left"/>
                    <w:rPr>
                      <w:b/>
                      <w:bCs/>
                    </w:rPr>
                  </w:pPr>
                  <w:hyperlink r:id="rId18" w:history="1">
                    <w:r w:rsidRPr="008352C2">
                      <w:rPr>
                        <w:rStyle w:val="Hyperlink"/>
                      </w:rPr>
                      <w:t>NCSE-Movement-Breaks-in-the-Classroom-Booklet.pdf</w:t>
                    </w:r>
                  </w:hyperlink>
                </w:p>
              </w:tc>
            </w:tr>
          </w:tbl>
          <w:p w14:paraId="39F02A57" w14:textId="77777777" w:rsidR="008352C2" w:rsidRPr="008352C2" w:rsidRDefault="008352C2" w:rsidP="008352C2">
            <w:pPr>
              <w:spacing w:line="278" w:lineRule="auto"/>
              <w:jc w:val="left"/>
              <w:rPr>
                <w:b/>
                <w:bCs/>
              </w:rPr>
            </w:pPr>
            <w:proofErr w:type="spellStart"/>
            <w:r w:rsidRPr="008352C2">
              <w:rPr>
                <w:b/>
                <w:bCs/>
              </w:rPr>
              <w:t>Locala</w:t>
            </w:r>
            <w:proofErr w:type="spellEnd"/>
            <w:r w:rsidRPr="008352C2">
              <w:rPr>
                <w:b/>
                <w:bCs/>
              </w:rPr>
              <w:t xml:space="preserve"> Power Up Corner Booklet</w:t>
            </w:r>
          </w:p>
          <w:p w14:paraId="4D95157C" w14:textId="77777777" w:rsidR="008352C2" w:rsidRPr="008352C2" w:rsidRDefault="008352C2" w:rsidP="008352C2">
            <w:pPr>
              <w:spacing w:line="278" w:lineRule="auto"/>
              <w:jc w:val="left"/>
            </w:pPr>
            <w:hyperlink r:id="rId19" w:history="1">
              <w:r w:rsidRPr="008352C2">
                <w:rPr>
                  <w:rStyle w:val="Hyperlink"/>
                </w:rPr>
                <w:t>Power_up_corner_exercises.pdf (locala.org.uk)</w:t>
              </w:r>
            </w:hyperlink>
          </w:p>
          <w:p w14:paraId="6B6613A1" w14:textId="77777777" w:rsidR="008352C2" w:rsidRPr="008352C2" w:rsidRDefault="008352C2" w:rsidP="008352C2">
            <w:pPr>
              <w:spacing w:line="278" w:lineRule="auto"/>
              <w:jc w:val="left"/>
            </w:pPr>
          </w:p>
          <w:p w14:paraId="460C02AC" w14:textId="77777777" w:rsidR="008352C2" w:rsidRPr="008352C2" w:rsidRDefault="008352C2" w:rsidP="008352C2">
            <w:pPr>
              <w:spacing w:line="278" w:lineRule="auto"/>
              <w:jc w:val="left"/>
              <w:rPr>
                <w:b/>
                <w:bCs/>
              </w:rPr>
            </w:pPr>
            <w:r w:rsidRPr="008352C2">
              <w:rPr>
                <w:b/>
                <w:bCs/>
              </w:rPr>
              <w:t>Go Noodle – Get Moving</w:t>
            </w:r>
          </w:p>
          <w:p w14:paraId="55CF4BA3" w14:textId="77777777" w:rsidR="008352C2" w:rsidRPr="008352C2" w:rsidRDefault="008352C2" w:rsidP="008352C2">
            <w:pPr>
              <w:spacing w:line="278" w:lineRule="auto"/>
              <w:jc w:val="left"/>
            </w:pPr>
            <w:hyperlink r:id="rId20" w:history="1">
              <w:proofErr w:type="spellStart"/>
              <w:r w:rsidRPr="008352C2">
                <w:rPr>
                  <w:rStyle w:val="Hyperlink"/>
                </w:rPr>
                <w:t>GoNoodle</w:t>
              </w:r>
              <w:proofErr w:type="spellEnd"/>
              <w:r w:rsidRPr="008352C2">
                <w:rPr>
                  <w:rStyle w:val="Hyperlink"/>
                </w:rPr>
                <w:t xml:space="preserve"> | Get Moving - YouTube</w:t>
              </w:r>
            </w:hyperlink>
          </w:p>
          <w:p w14:paraId="0C958D2D" w14:textId="77777777" w:rsidR="008352C2" w:rsidRPr="008352C2" w:rsidRDefault="008352C2" w:rsidP="008352C2">
            <w:pPr>
              <w:spacing w:line="278" w:lineRule="auto"/>
              <w:jc w:val="left"/>
            </w:pPr>
          </w:p>
          <w:p w14:paraId="6055AC78" w14:textId="77777777" w:rsidR="008352C2" w:rsidRPr="008352C2" w:rsidRDefault="008352C2" w:rsidP="008352C2">
            <w:pPr>
              <w:spacing w:line="278" w:lineRule="auto"/>
              <w:jc w:val="left"/>
              <w:rPr>
                <w:b/>
                <w:bCs/>
              </w:rPr>
            </w:pPr>
            <w:r w:rsidRPr="008352C2">
              <w:rPr>
                <w:b/>
                <w:bCs/>
              </w:rPr>
              <w:t>The OT Toolbox – Brain Breaks / Movement Breaks</w:t>
            </w:r>
          </w:p>
          <w:p w14:paraId="44AF8D23" w14:textId="5F96ABC8" w:rsidR="008352C2" w:rsidRPr="008352C2" w:rsidRDefault="008352C2" w:rsidP="008352C2">
            <w:pPr>
              <w:spacing w:line="278" w:lineRule="auto"/>
              <w:jc w:val="left"/>
            </w:pPr>
            <w:hyperlink r:id="rId21" w:history="1">
              <w:r w:rsidRPr="008352C2">
                <w:rPr>
                  <w:rStyle w:val="Hyperlink"/>
                </w:rPr>
                <w:t>Brain Breaks and Movement Breaks Kids Love - The OT Toolbox</w:t>
              </w:r>
            </w:hyperlink>
          </w:p>
        </w:tc>
      </w:tr>
    </w:tbl>
    <w:p w14:paraId="218E2408" w14:textId="77777777" w:rsidR="00BA6447" w:rsidRPr="00422133" w:rsidRDefault="00BA6447" w:rsidP="008352C2"/>
    <w:sectPr w:rsidR="00BA6447" w:rsidRPr="00422133" w:rsidSect="00A6051D">
      <w:headerReference w:type="even" r:id="rId22"/>
      <w:headerReference w:type="default" r:id="rId23"/>
      <w:footerReference w:type="even" r:id="rId24"/>
      <w:footerReference w:type="default" r:id="rId25"/>
      <w:headerReference w:type="first" r:id="rId26"/>
      <w:footerReference w:type="first" r:id="rId27"/>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9764D" w14:textId="77777777" w:rsidR="003875E5" w:rsidRPr="00C6783D" w:rsidRDefault="003875E5" w:rsidP="00817007">
      <w:pPr>
        <w:spacing w:before="0" w:after="0" w:line="240" w:lineRule="auto"/>
      </w:pPr>
      <w:r w:rsidRPr="00C6783D">
        <w:separator/>
      </w:r>
    </w:p>
  </w:endnote>
  <w:endnote w:type="continuationSeparator" w:id="0">
    <w:p w14:paraId="29635E01" w14:textId="77777777" w:rsidR="003875E5" w:rsidRPr="00C6783D" w:rsidRDefault="003875E5"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AF93B"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17C79FB1"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3228"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9C39" w14:textId="77777777" w:rsidR="003875E5" w:rsidRPr="00C6783D" w:rsidRDefault="003875E5" w:rsidP="00817007">
      <w:pPr>
        <w:spacing w:before="0" w:after="0" w:line="240" w:lineRule="auto"/>
      </w:pPr>
      <w:r w:rsidRPr="00C6783D">
        <w:separator/>
      </w:r>
    </w:p>
  </w:footnote>
  <w:footnote w:type="continuationSeparator" w:id="0">
    <w:p w14:paraId="12C5E918" w14:textId="77777777" w:rsidR="003875E5" w:rsidRPr="00C6783D" w:rsidRDefault="003875E5"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3DB3"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B45C"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788FC300" wp14:editId="3E38CC90">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0D451AC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8FC300"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0D451AC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240C8A01" wp14:editId="10170C1A">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F37FCB6" wp14:editId="01E6C5F6">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FD87BC0"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26A6"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5F10D"/>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63D1EC"/>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4"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4"/>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6"/>
  </w:num>
  <w:num w:numId="17" w16cid:durableId="1901668839">
    <w:abstractNumId w:val="18"/>
  </w:num>
  <w:num w:numId="18" w16cid:durableId="867371350">
    <w:abstractNumId w:val="25"/>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7"/>
  </w:num>
  <w:num w:numId="26" w16cid:durableId="250940655">
    <w:abstractNumId w:val="20"/>
  </w:num>
  <w:num w:numId="27" w16cid:durableId="1275289172">
    <w:abstractNumId w:val="14"/>
  </w:num>
  <w:num w:numId="28" w16cid:durableId="2147236734">
    <w:abstractNumId w:val="11"/>
  </w:num>
  <w:num w:numId="29" w16cid:durableId="1333724045">
    <w:abstractNumId w:val="22"/>
  </w:num>
  <w:num w:numId="30" w16cid:durableId="2136216373">
    <w:abstractNumId w:val="12"/>
  </w:num>
  <w:num w:numId="31" w16cid:durableId="2009093060">
    <w:abstractNumId w:val="21"/>
  </w:num>
  <w:num w:numId="32" w16cid:durableId="1061296723">
    <w:abstractNumId w:val="23"/>
    <w:lvlOverride w:ilvl="0">
      <w:startOverride w:val="1"/>
    </w:lvlOverride>
    <w:lvlOverride w:ilvl="1"/>
    <w:lvlOverride w:ilvl="2"/>
    <w:lvlOverride w:ilvl="3"/>
    <w:lvlOverride w:ilvl="4"/>
    <w:lvlOverride w:ilvl="5"/>
    <w:lvlOverride w:ilvl="6"/>
    <w:lvlOverride w:ilvl="7"/>
    <w:lvlOverride w:ilvl="8"/>
  </w:num>
  <w:num w:numId="33" w16cid:durableId="670763290">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C2"/>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875E5"/>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074F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352C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C4E7F"/>
  <w15:chartTrackingRefBased/>
  <w15:docId w15:val="{6FC37ADB-E79C-4E46-AB18-F8105FD3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ncse.ie/wp-content/uploads/2020/12/NCSE-Movement-Breaks-in-the-Classroom-Booklet.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theottoolbox.com/brain-breaks/" TargetMode="External"/><Relationship Id="rId7" Type="http://schemas.openxmlformats.org/officeDocument/2006/relationships/settings" Target="settings.xml"/><Relationship Id="rId12" Type="http://schemas.openxmlformats.org/officeDocument/2006/relationships/hyperlink" Target="https://www.theottoolbox.com/attention/" TargetMode="External"/><Relationship Id="rId17" Type="http://schemas.microsoft.com/office/2007/relationships/diagramDrawing" Target="diagrams/drawing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youtube.com/channel/UC2YBT7HYqCbbvzu3kKZ3wnw"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ottoolbox.com/zones-of-regulation-activitie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cala.org.uk/fileadmin/Services/Sensory_OT/Power_up_corner_exercis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4C9C68-0664-4A89-81D0-BE77B2831DA1}" type="doc">
      <dgm:prSet loTypeId="urn:microsoft.com/office/officeart/2005/8/layout/hChevron3" loCatId="process" qsTypeId="urn:microsoft.com/office/officeart/2005/8/quickstyle/simple2" qsCatId="simple" csTypeId="urn:microsoft.com/office/officeart/2005/8/colors/accent2_4" csCatId="accent2" phldr="1"/>
      <dgm:spPr/>
    </dgm:pt>
    <dgm:pt modelId="{1C9CB1BC-F719-4246-9D23-3B9B47EF93E3}">
      <dgm:prSet phldrT="[Text]"/>
      <dgm:spPr/>
      <dgm:t>
        <a:bodyPr/>
        <a:lstStyle/>
        <a:p>
          <a:r>
            <a:rPr lang="en-GB"/>
            <a:t>Alerting activities</a:t>
          </a:r>
        </a:p>
      </dgm:t>
    </dgm:pt>
    <dgm:pt modelId="{E0A30E74-9788-464A-A0E8-C22094F4227A}" type="parTrans" cxnId="{28B5529E-CBF9-4222-8EBE-5EF3AC65209C}">
      <dgm:prSet/>
      <dgm:spPr/>
      <dgm:t>
        <a:bodyPr/>
        <a:lstStyle/>
        <a:p>
          <a:endParaRPr lang="en-GB"/>
        </a:p>
      </dgm:t>
    </dgm:pt>
    <dgm:pt modelId="{28F070ED-F4EC-46A4-A980-8E85B969C56C}" type="sibTrans" cxnId="{28B5529E-CBF9-4222-8EBE-5EF3AC65209C}">
      <dgm:prSet/>
      <dgm:spPr/>
      <dgm:t>
        <a:bodyPr/>
        <a:lstStyle/>
        <a:p>
          <a:endParaRPr lang="en-GB"/>
        </a:p>
      </dgm:t>
    </dgm:pt>
    <dgm:pt modelId="{AAAB0B3A-7FE9-4A6C-B490-DDD819E63E8F}">
      <dgm:prSet phldrT="[Text]"/>
      <dgm:spPr/>
      <dgm:t>
        <a:bodyPr/>
        <a:lstStyle/>
        <a:p>
          <a:r>
            <a:rPr lang="en-GB"/>
            <a:t>Calming organising activities</a:t>
          </a:r>
        </a:p>
      </dgm:t>
    </dgm:pt>
    <dgm:pt modelId="{B57AF45C-2BCC-420C-BF70-94DEF885CA8B}" type="parTrans" cxnId="{816EAB03-A431-46CD-8C75-3A64A67037A6}">
      <dgm:prSet/>
      <dgm:spPr/>
      <dgm:t>
        <a:bodyPr/>
        <a:lstStyle/>
        <a:p>
          <a:endParaRPr lang="en-GB"/>
        </a:p>
      </dgm:t>
    </dgm:pt>
    <dgm:pt modelId="{C01F8E02-1938-44B8-A9B5-0DBC11A0AE88}" type="sibTrans" cxnId="{816EAB03-A431-46CD-8C75-3A64A67037A6}">
      <dgm:prSet/>
      <dgm:spPr/>
      <dgm:t>
        <a:bodyPr/>
        <a:lstStyle/>
        <a:p>
          <a:endParaRPr lang="en-GB"/>
        </a:p>
      </dgm:t>
    </dgm:pt>
    <dgm:pt modelId="{A17BE27F-9C54-47DA-B893-7D4D68E11C35}">
      <dgm:prSet phldrT="[Text]"/>
      <dgm:spPr/>
      <dgm:t>
        <a:bodyPr/>
        <a:lstStyle/>
        <a:p>
          <a:r>
            <a:rPr lang="en-GB"/>
            <a:t>Transition to learning activities</a:t>
          </a:r>
        </a:p>
      </dgm:t>
    </dgm:pt>
    <dgm:pt modelId="{885ACB82-250F-4095-B76E-61D763C842B0}" type="parTrans" cxnId="{75ED6676-EDA8-40B0-ACF1-A9B71AE17760}">
      <dgm:prSet/>
      <dgm:spPr/>
      <dgm:t>
        <a:bodyPr/>
        <a:lstStyle/>
        <a:p>
          <a:endParaRPr lang="en-GB"/>
        </a:p>
      </dgm:t>
    </dgm:pt>
    <dgm:pt modelId="{2F21C7CE-7F8C-440A-87B0-4204330D1BAA}" type="sibTrans" cxnId="{75ED6676-EDA8-40B0-ACF1-A9B71AE17760}">
      <dgm:prSet/>
      <dgm:spPr/>
      <dgm:t>
        <a:bodyPr/>
        <a:lstStyle/>
        <a:p>
          <a:endParaRPr lang="en-GB"/>
        </a:p>
      </dgm:t>
    </dgm:pt>
    <dgm:pt modelId="{7491996E-A20B-4127-BA5B-AC4AE9ED3E78}" type="pres">
      <dgm:prSet presAssocID="{7C4C9C68-0664-4A89-81D0-BE77B2831DA1}" presName="Name0" presStyleCnt="0">
        <dgm:presLayoutVars>
          <dgm:dir/>
          <dgm:resizeHandles val="exact"/>
        </dgm:presLayoutVars>
      </dgm:prSet>
      <dgm:spPr/>
    </dgm:pt>
    <dgm:pt modelId="{CB623727-3168-4349-9041-9E5B4F8F3E49}" type="pres">
      <dgm:prSet presAssocID="{1C9CB1BC-F719-4246-9D23-3B9B47EF93E3}" presName="parTxOnly" presStyleLbl="node1" presStyleIdx="0" presStyleCnt="3">
        <dgm:presLayoutVars>
          <dgm:bulletEnabled val="1"/>
        </dgm:presLayoutVars>
      </dgm:prSet>
      <dgm:spPr/>
    </dgm:pt>
    <dgm:pt modelId="{6B0E83EC-91BA-4FEA-8EFE-52D6E89C29A7}" type="pres">
      <dgm:prSet presAssocID="{28F070ED-F4EC-46A4-A980-8E85B969C56C}" presName="parSpace" presStyleCnt="0"/>
      <dgm:spPr/>
    </dgm:pt>
    <dgm:pt modelId="{07FC1478-3736-454D-8FDC-36A957AA6DEC}" type="pres">
      <dgm:prSet presAssocID="{AAAB0B3A-7FE9-4A6C-B490-DDD819E63E8F}" presName="parTxOnly" presStyleLbl="node1" presStyleIdx="1" presStyleCnt="3">
        <dgm:presLayoutVars>
          <dgm:bulletEnabled val="1"/>
        </dgm:presLayoutVars>
      </dgm:prSet>
      <dgm:spPr/>
    </dgm:pt>
    <dgm:pt modelId="{DF498289-20CF-4B38-88E8-6F920AF7CB05}" type="pres">
      <dgm:prSet presAssocID="{C01F8E02-1938-44B8-A9B5-0DBC11A0AE88}" presName="parSpace" presStyleCnt="0"/>
      <dgm:spPr/>
    </dgm:pt>
    <dgm:pt modelId="{0BD133F2-A8E6-4D10-A0DD-0AF670FDB55C}" type="pres">
      <dgm:prSet presAssocID="{A17BE27F-9C54-47DA-B893-7D4D68E11C35}" presName="parTxOnly" presStyleLbl="node1" presStyleIdx="2" presStyleCnt="3">
        <dgm:presLayoutVars>
          <dgm:bulletEnabled val="1"/>
        </dgm:presLayoutVars>
      </dgm:prSet>
      <dgm:spPr/>
    </dgm:pt>
  </dgm:ptLst>
  <dgm:cxnLst>
    <dgm:cxn modelId="{816EAB03-A431-46CD-8C75-3A64A67037A6}" srcId="{7C4C9C68-0664-4A89-81D0-BE77B2831DA1}" destId="{AAAB0B3A-7FE9-4A6C-B490-DDD819E63E8F}" srcOrd="1" destOrd="0" parTransId="{B57AF45C-2BCC-420C-BF70-94DEF885CA8B}" sibTransId="{C01F8E02-1938-44B8-A9B5-0DBC11A0AE88}"/>
    <dgm:cxn modelId="{9DF84E4C-FB92-480D-9AEB-F0031A488FF1}" type="presOf" srcId="{7C4C9C68-0664-4A89-81D0-BE77B2831DA1}" destId="{7491996E-A20B-4127-BA5B-AC4AE9ED3E78}" srcOrd="0" destOrd="0" presId="urn:microsoft.com/office/officeart/2005/8/layout/hChevron3"/>
    <dgm:cxn modelId="{779BC870-586F-4475-AEA0-A7F09AADA180}" type="presOf" srcId="{AAAB0B3A-7FE9-4A6C-B490-DDD819E63E8F}" destId="{07FC1478-3736-454D-8FDC-36A957AA6DEC}" srcOrd="0" destOrd="0" presId="urn:microsoft.com/office/officeart/2005/8/layout/hChevron3"/>
    <dgm:cxn modelId="{75ED6676-EDA8-40B0-ACF1-A9B71AE17760}" srcId="{7C4C9C68-0664-4A89-81D0-BE77B2831DA1}" destId="{A17BE27F-9C54-47DA-B893-7D4D68E11C35}" srcOrd="2" destOrd="0" parTransId="{885ACB82-250F-4095-B76E-61D763C842B0}" sibTransId="{2F21C7CE-7F8C-440A-87B0-4204330D1BAA}"/>
    <dgm:cxn modelId="{6CDC357A-E291-4395-A7E2-A8486C8716A2}" type="presOf" srcId="{A17BE27F-9C54-47DA-B893-7D4D68E11C35}" destId="{0BD133F2-A8E6-4D10-A0DD-0AF670FDB55C}" srcOrd="0" destOrd="0" presId="urn:microsoft.com/office/officeart/2005/8/layout/hChevron3"/>
    <dgm:cxn modelId="{B54B2C90-76D3-4FAA-8540-49F027D99B61}" type="presOf" srcId="{1C9CB1BC-F719-4246-9D23-3B9B47EF93E3}" destId="{CB623727-3168-4349-9041-9E5B4F8F3E49}" srcOrd="0" destOrd="0" presId="urn:microsoft.com/office/officeart/2005/8/layout/hChevron3"/>
    <dgm:cxn modelId="{28B5529E-CBF9-4222-8EBE-5EF3AC65209C}" srcId="{7C4C9C68-0664-4A89-81D0-BE77B2831DA1}" destId="{1C9CB1BC-F719-4246-9D23-3B9B47EF93E3}" srcOrd="0" destOrd="0" parTransId="{E0A30E74-9788-464A-A0E8-C22094F4227A}" sibTransId="{28F070ED-F4EC-46A4-A980-8E85B969C56C}"/>
    <dgm:cxn modelId="{CBA40B90-5536-488D-8275-A9F916F14693}" type="presParOf" srcId="{7491996E-A20B-4127-BA5B-AC4AE9ED3E78}" destId="{CB623727-3168-4349-9041-9E5B4F8F3E49}" srcOrd="0" destOrd="0" presId="urn:microsoft.com/office/officeart/2005/8/layout/hChevron3"/>
    <dgm:cxn modelId="{D69C95E5-3602-4485-85D4-98D09A58A9FE}" type="presParOf" srcId="{7491996E-A20B-4127-BA5B-AC4AE9ED3E78}" destId="{6B0E83EC-91BA-4FEA-8EFE-52D6E89C29A7}" srcOrd="1" destOrd="0" presId="urn:microsoft.com/office/officeart/2005/8/layout/hChevron3"/>
    <dgm:cxn modelId="{F8341941-698E-4191-A846-00958799AB5C}" type="presParOf" srcId="{7491996E-A20B-4127-BA5B-AC4AE9ED3E78}" destId="{07FC1478-3736-454D-8FDC-36A957AA6DEC}" srcOrd="2" destOrd="0" presId="urn:microsoft.com/office/officeart/2005/8/layout/hChevron3"/>
    <dgm:cxn modelId="{A6A38F7E-2A14-4C09-A32C-6A6A2DDC05B9}" type="presParOf" srcId="{7491996E-A20B-4127-BA5B-AC4AE9ED3E78}" destId="{DF498289-20CF-4B38-88E8-6F920AF7CB05}" srcOrd="3" destOrd="0" presId="urn:microsoft.com/office/officeart/2005/8/layout/hChevron3"/>
    <dgm:cxn modelId="{F4429165-567C-4D4C-AA9B-F5E3CA7FCF65}" type="presParOf" srcId="{7491996E-A20B-4127-BA5B-AC4AE9ED3E78}" destId="{0BD133F2-A8E6-4D10-A0DD-0AF670FDB55C}" srcOrd="4" destOrd="0" presId="urn:microsoft.com/office/officeart/2005/8/layout/hChevron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623727-3168-4349-9041-9E5B4F8F3E49}">
      <dsp:nvSpPr>
        <dsp:cNvPr id="0" name=""/>
        <dsp:cNvSpPr/>
      </dsp:nvSpPr>
      <dsp:spPr>
        <a:xfrm>
          <a:off x="2411" y="302240"/>
          <a:ext cx="2108299" cy="843319"/>
        </a:xfrm>
        <a:prstGeom prst="homePlate">
          <a:avLst/>
        </a:prstGeom>
        <a:solidFill>
          <a:schemeClr val="accent2">
            <a:shade val="50000"/>
            <a:hueOff val="0"/>
            <a:satOff val="0"/>
            <a:lumOff val="0"/>
            <a:alphaOff val="0"/>
          </a:schemeClr>
        </a:solidFill>
        <a:ln w="57150">
          <a:noFill/>
          <a:prstDash val="solid"/>
          <a:round/>
          <a:headEnd type="none" w="lg" len="lg"/>
          <a:tailEnd type="none" w="lg" len="lg"/>
        </a:ln>
        <a:effectLst>
          <a:outerShdw blurRad="266700" sx="102000" sy="102000" algn="ctr" rotWithShape="0">
            <a:schemeClr val="tx2">
              <a:alpha val="15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0678" tIns="45339" rIns="22670" bIns="45339" numCol="1" spcCol="1270" anchor="ctr" anchorCtr="0">
          <a:noAutofit/>
        </a:bodyPr>
        <a:lstStyle/>
        <a:p>
          <a:pPr marL="0" lvl="0" indent="0" algn="ctr" defTabSz="755650">
            <a:lnSpc>
              <a:spcPct val="90000"/>
            </a:lnSpc>
            <a:spcBef>
              <a:spcPct val="0"/>
            </a:spcBef>
            <a:spcAft>
              <a:spcPct val="35000"/>
            </a:spcAft>
            <a:buNone/>
          </a:pPr>
          <a:r>
            <a:rPr lang="en-GB" sz="1700" kern="1200"/>
            <a:t>Alerting activities</a:t>
          </a:r>
        </a:p>
      </dsp:txBody>
      <dsp:txXfrm>
        <a:off x="2411" y="302240"/>
        <a:ext cx="1897469" cy="843319"/>
      </dsp:txXfrm>
    </dsp:sp>
    <dsp:sp modelId="{07FC1478-3736-454D-8FDC-36A957AA6DEC}">
      <dsp:nvSpPr>
        <dsp:cNvPr id="0" name=""/>
        <dsp:cNvSpPr/>
      </dsp:nvSpPr>
      <dsp:spPr>
        <a:xfrm>
          <a:off x="1689050" y="302240"/>
          <a:ext cx="2108299" cy="843319"/>
        </a:xfrm>
        <a:prstGeom prst="chevron">
          <a:avLst/>
        </a:prstGeom>
        <a:solidFill>
          <a:schemeClr val="accent2">
            <a:shade val="50000"/>
            <a:hueOff val="403884"/>
            <a:satOff val="20813"/>
            <a:lumOff val="30173"/>
            <a:alphaOff val="0"/>
          </a:schemeClr>
        </a:solidFill>
        <a:ln w="57150">
          <a:noFill/>
          <a:prstDash val="solid"/>
          <a:round/>
          <a:headEnd type="none" w="lg" len="lg"/>
          <a:tailEnd type="none" w="lg" len="lg"/>
        </a:ln>
        <a:effectLst>
          <a:outerShdw blurRad="266700" sx="102000" sy="102000" algn="ctr" rotWithShape="0">
            <a:schemeClr val="tx2">
              <a:alpha val="15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8009" tIns="45339" rIns="22670" bIns="45339" numCol="1" spcCol="1270" anchor="ctr" anchorCtr="0">
          <a:noAutofit/>
        </a:bodyPr>
        <a:lstStyle/>
        <a:p>
          <a:pPr marL="0" lvl="0" indent="0" algn="ctr" defTabSz="755650">
            <a:lnSpc>
              <a:spcPct val="90000"/>
            </a:lnSpc>
            <a:spcBef>
              <a:spcPct val="0"/>
            </a:spcBef>
            <a:spcAft>
              <a:spcPct val="35000"/>
            </a:spcAft>
            <a:buNone/>
          </a:pPr>
          <a:r>
            <a:rPr lang="en-GB" sz="1700" kern="1200"/>
            <a:t>Calming organising activities</a:t>
          </a:r>
        </a:p>
      </dsp:txBody>
      <dsp:txXfrm>
        <a:off x="2110710" y="302240"/>
        <a:ext cx="1264980" cy="843319"/>
      </dsp:txXfrm>
    </dsp:sp>
    <dsp:sp modelId="{0BD133F2-A8E6-4D10-A0DD-0AF670FDB55C}">
      <dsp:nvSpPr>
        <dsp:cNvPr id="0" name=""/>
        <dsp:cNvSpPr/>
      </dsp:nvSpPr>
      <dsp:spPr>
        <a:xfrm>
          <a:off x="3375689" y="302240"/>
          <a:ext cx="2108299" cy="843319"/>
        </a:xfrm>
        <a:prstGeom prst="chevron">
          <a:avLst/>
        </a:prstGeom>
        <a:solidFill>
          <a:schemeClr val="accent2">
            <a:shade val="50000"/>
            <a:hueOff val="403884"/>
            <a:satOff val="20813"/>
            <a:lumOff val="30173"/>
            <a:alphaOff val="0"/>
          </a:schemeClr>
        </a:solidFill>
        <a:ln w="57150">
          <a:noFill/>
          <a:prstDash val="solid"/>
          <a:round/>
          <a:headEnd type="none" w="lg" len="lg"/>
          <a:tailEnd type="none" w="lg" len="lg"/>
        </a:ln>
        <a:effectLst>
          <a:outerShdw blurRad="266700" sx="102000" sy="102000" algn="ctr" rotWithShape="0">
            <a:schemeClr val="tx2">
              <a:alpha val="15000"/>
            </a:scheme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8009" tIns="45339" rIns="22670" bIns="45339" numCol="1" spcCol="1270" anchor="ctr" anchorCtr="0">
          <a:noAutofit/>
        </a:bodyPr>
        <a:lstStyle/>
        <a:p>
          <a:pPr marL="0" lvl="0" indent="0" algn="ctr" defTabSz="755650">
            <a:lnSpc>
              <a:spcPct val="90000"/>
            </a:lnSpc>
            <a:spcBef>
              <a:spcPct val="0"/>
            </a:spcBef>
            <a:spcAft>
              <a:spcPct val="35000"/>
            </a:spcAft>
            <a:buNone/>
          </a:pPr>
          <a:r>
            <a:rPr lang="en-GB" sz="1700" kern="1200"/>
            <a:t>Transition to learning activities</a:t>
          </a:r>
        </a:p>
      </dsp:txBody>
      <dsp:txXfrm>
        <a:off x="3797349" y="302240"/>
        <a:ext cx="1264980" cy="84331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7</TotalTime>
  <Pages>5</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2025-10-25T16:34:00Z</dcterms:created>
  <dcterms:modified xsi:type="dcterms:W3CDTF">2025-10-25T16:41:00Z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